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21EC9"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（様式例第１号）</w:t>
      </w:r>
    </w:p>
    <w:p w14:paraId="0733CA2F"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p>
    <w:p w14:paraId="68E01349" w14:textId="77777777" w:rsidR="00141B3E" w:rsidRPr="00141B3E" w:rsidRDefault="00141B3E" w:rsidP="00141B3E">
      <w:pPr>
        <w:overflowPunct w:val="0"/>
        <w:jc w:val="center"/>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空き家５（ファイブ）戦略事業利活用モデル業務コンソーシアム協定書</w:t>
      </w:r>
    </w:p>
    <w:p w14:paraId="7750C9C8"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p>
    <w:p w14:paraId="7159FDEE"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（目的）</w:t>
      </w:r>
    </w:p>
    <w:p w14:paraId="6752B492" w14:textId="2EB1F35C" w:rsidR="00141B3E" w:rsidRPr="00141B3E" w:rsidRDefault="00141B3E" w:rsidP="00141B3E">
      <w:pPr>
        <w:overflowPunct w:val="0"/>
        <w:ind w:leftChars="6" w:left="293" w:hanging="281"/>
        <w:textAlignment w:val="baseline"/>
        <w:outlineLvl w:val="0"/>
        <w:rPr>
          <w:rFonts w:ascii="ＭＳ 明朝" w:eastAsia="ＭＳ 明朝" w:hAnsi="Times New Roman" w:cs="Times New Roman"/>
          <w:color w:val="000000"/>
          <w:spacing w:val="2"/>
          <w:kern w:val="0"/>
          <w:sz w:val="24"/>
          <w:szCs w:val="24"/>
        </w:rPr>
      </w:pPr>
      <w:r>
        <w:rPr>
          <w:rFonts w:ascii="ＭＳ 明朝" w:eastAsia="ＭＳ 明朝" w:hAnsi="Times New Roman" w:cs="ＭＳ 明朝" w:hint="eastAsia"/>
          <w:color w:val="000000"/>
          <w:kern w:val="0"/>
          <w:sz w:val="24"/>
          <w:szCs w:val="24"/>
        </w:rPr>
        <w:t xml:space="preserve">第１条　</w:t>
      </w:r>
      <w:r w:rsidRPr="00141B3E">
        <w:rPr>
          <w:rFonts w:ascii="ＭＳ 明朝" w:eastAsia="ＭＳ 明朝" w:hAnsi="Times New Roman" w:cs="ＭＳ 明朝" w:hint="eastAsia"/>
          <w:color w:val="000000"/>
          <w:kern w:val="0"/>
          <w:sz w:val="24"/>
          <w:szCs w:val="24"/>
        </w:rPr>
        <w:t>本協定は、コンソーシアムを設立し、徳島県の発注に係る空き家５（ファイブ）戦略事業利活用モデル業務（以下「本業務」という。）を効率的に営み、優れた成果を達成することを目的とする。</w:t>
      </w:r>
    </w:p>
    <w:p w14:paraId="6AE640F8"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p>
    <w:p w14:paraId="1E575492"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（名称）</w:t>
      </w:r>
    </w:p>
    <w:p w14:paraId="10E40A21" w14:textId="38146253" w:rsidR="00141B3E" w:rsidRPr="00141B3E" w:rsidRDefault="00141B3E" w:rsidP="00141B3E">
      <w:pPr>
        <w:overflowPunct w:val="0"/>
        <w:ind w:left="282" w:hangingChars="120" w:hanging="282"/>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第２条　本協定に基づき設立するコンソーシアムは、徳島県の発注に係る空き家５（ファイブ）戦略事業利活用モデル業務コンソーシアム（以下「本コンソーシアム」という。）と称する。</w:t>
      </w:r>
    </w:p>
    <w:p w14:paraId="17653E2D"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p>
    <w:p w14:paraId="220F01F1"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（構成員の住所及び名称）</w:t>
      </w:r>
    </w:p>
    <w:p w14:paraId="34CA39DE"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第３条　本コンソーシアムの構成員は、次のとおりとする。</w:t>
      </w:r>
    </w:p>
    <w:p w14:paraId="4D1ABFC8" w14:textId="77777777" w:rsidR="00141B3E" w:rsidRPr="00141B3E" w:rsidRDefault="00141B3E" w:rsidP="00141B3E">
      <w:pPr>
        <w:overflowPunct w:val="0"/>
        <w:ind w:firstLineChars="120" w:firstLine="282"/>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（１）　（住所）</w:t>
      </w:r>
    </w:p>
    <w:p w14:paraId="163C3619" w14:textId="77777777" w:rsidR="00141B3E" w:rsidRPr="00141B3E" w:rsidRDefault="00141B3E" w:rsidP="00141B3E">
      <w:pPr>
        <w:overflowPunct w:val="0"/>
        <w:ind w:left="980" w:firstLineChars="95" w:firstLine="223"/>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（事業者名）</w:t>
      </w:r>
    </w:p>
    <w:p w14:paraId="1EF419C7" w14:textId="77777777" w:rsidR="00141B3E" w:rsidRPr="00141B3E" w:rsidRDefault="00141B3E" w:rsidP="00141B3E">
      <w:pPr>
        <w:overflowPunct w:val="0"/>
        <w:ind w:firstLineChars="120" w:firstLine="282"/>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（２）　（住所）</w:t>
      </w:r>
    </w:p>
    <w:p w14:paraId="158D9FB8" w14:textId="77777777" w:rsidR="00141B3E" w:rsidRPr="00141B3E" w:rsidRDefault="00141B3E" w:rsidP="00141B3E">
      <w:pPr>
        <w:overflowPunct w:val="0"/>
        <w:ind w:left="980" w:firstLineChars="101" w:firstLine="237"/>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（事業者名）</w:t>
      </w:r>
    </w:p>
    <w:p w14:paraId="753500B3" w14:textId="77777777" w:rsidR="00141B3E" w:rsidRPr="00141B3E" w:rsidRDefault="00141B3E" w:rsidP="00141B3E">
      <w:pPr>
        <w:overflowPunct w:val="0"/>
        <w:ind w:firstLineChars="120" w:firstLine="282"/>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（３）　（住所）</w:t>
      </w:r>
    </w:p>
    <w:p w14:paraId="0D68CF56" w14:textId="77777777" w:rsidR="00141B3E" w:rsidRPr="00141B3E" w:rsidRDefault="00141B3E" w:rsidP="00141B3E">
      <w:pPr>
        <w:overflowPunct w:val="0"/>
        <w:ind w:left="980" w:firstLineChars="95" w:firstLine="223"/>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（事業者名）</w:t>
      </w:r>
    </w:p>
    <w:p w14:paraId="08E6D6E9" w14:textId="77777777" w:rsidR="00141B3E" w:rsidRPr="00141B3E" w:rsidRDefault="00141B3E" w:rsidP="00141B3E">
      <w:pPr>
        <w:overflowPunct w:val="0"/>
        <w:ind w:left="908" w:hanging="624"/>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（４）　（住所）</w:t>
      </w:r>
    </w:p>
    <w:p w14:paraId="1ACF52C2" w14:textId="77777777" w:rsidR="00141B3E" w:rsidRPr="00141B3E" w:rsidRDefault="00141B3E" w:rsidP="00141B3E">
      <w:pPr>
        <w:overflowPunct w:val="0"/>
        <w:ind w:left="980" w:firstLineChars="107" w:firstLine="252"/>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（事業者名）</w:t>
      </w:r>
    </w:p>
    <w:p w14:paraId="1EA6931A" w14:textId="77777777" w:rsidR="00141B3E" w:rsidRPr="00141B3E" w:rsidRDefault="00141B3E" w:rsidP="00141B3E">
      <w:pPr>
        <w:overflowPunct w:val="0"/>
        <w:ind w:firstLineChars="120" w:firstLine="282"/>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（５）　（住所）</w:t>
      </w:r>
    </w:p>
    <w:p w14:paraId="77660FE1" w14:textId="77777777" w:rsidR="00141B3E" w:rsidRPr="00141B3E" w:rsidRDefault="00141B3E" w:rsidP="00141B3E">
      <w:pPr>
        <w:overflowPunct w:val="0"/>
        <w:ind w:left="980" w:firstLineChars="101" w:firstLine="237"/>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（事業者名）</w:t>
      </w:r>
    </w:p>
    <w:p w14:paraId="217C16DD" w14:textId="77777777" w:rsidR="00141B3E" w:rsidRPr="00141B3E" w:rsidRDefault="00141B3E" w:rsidP="00141B3E">
      <w:pPr>
        <w:overflowPunct w:val="0"/>
        <w:ind w:left="980"/>
        <w:textAlignment w:val="baseline"/>
        <w:outlineLvl w:val="0"/>
        <w:rPr>
          <w:rFonts w:ascii="ＭＳ 明朝" w:eastAsia="ＭＳ 明朝" w:hAnsi="Times New Roman" w:cs="Times New Roman"/>
          <w:color w:val="000000"/>
          <w:spacing w:val="2"/>
          <w:kern w:val="0"/>
          <w:sz w:val="24"/>
          <w:szCs w:val="24"/>
        </w:rPr>
      </w:pPr>
    </w:p>
    <w:p w14:paraId="3085D3F5"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（幹事法人及び代表者）</w:t>
      </w:r>
    </w:p>
    <w:p w14:paraId="19213646"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第４条　本コンソーシアムの幹事法人は、　○○○○　とする。</w:t>
      </w:r>
    </w:p>
    <w:p w14:paraId="2A2BCDDC" w14:textId="77777777" w:rsidR="00141B3E" w:rsidRPr="00141B3E" w:rsidRDefault="00141B3E" w:rsidP="00141B3E">
      <w:pPr>
        <w:overflowPunct w:val="0"/>
        <w:ind w:firstLineChars="120" w:firstLine="282"/>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２　本コンソーシアムの幹事法人を本コンソーシアムの代表者とする。</w:t>
      </w:r>
    </w:p>
    <w:p w14:paraId="6D852DC3"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p>
    <w:p w14:paraId="29397E90"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（代表者の権限）</w:t>
      </w:r>
    </w:p>
    <w:p w14:paraId="1DB9235F" w14:textId="26DAB590" w:rsidR="00141B3E" w:rsidRPr="00141B3E" w:rsidRDefault="00141B3E" w:rsidP="00141B3E">
      <w:pPr>
        <w:overflowPunct w:val="0"/>
        <w:ind w:left="282" w:hangingChars="120" w:hanging="282"/>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第５条　本コンソーシアムの代表者は、本業務の実施に関し、本コンソーシアムを代表して発注者と折衝する権限並びに本コンソーシアムの名義をもって委託料の請求、受領する権限を有するものである。</w:t>
      </w:r>
    </w:p>
    <w:p w14:paraId="628EAACF"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p>
    <w:p w14:paraId="163BA2FD"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（構成員の連帯責任）</w:t>
      </w:r>
    </w:p>
    <w:p w14:paraId="08E88AF2" w14:textId="7BAF04AB" w:rsidR="00141B3E" w:rsidRPr="00141B3E" w:rsidRDefault="00141B3E" w:rsidP="00141B3E">
      <w:pPr>
        <w:overflowPunct w:val="0"/>
        <w:ind w:left="282" w:hangingChars="120" w:hanging="282"/>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第６条　本コンソーシアムの各構成員は、それぞれの分担した業務について進捗管理を行い、本業務の執行に関して連帯して責任を負うものとする。</w:t>
      </w:r>
    </w:p>
    <w:p w14:paraId="5C2720E2"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p>
    <w:p w14:paraId="64255611"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（業務の分担）</w:t>
      </w:r>
    </w:p>
    <w:p w14:paraId="0763AD76" w14:textId="3D4ED9E4" w:rsidR="00141B3E" w:rsidRPr="00141B3E" w:rsidRDefault="00141B3E" w:rsidP="00141B3E">
      <w:pPr>
        <w:overflowPunct w:val="0"/>
        <w:ind w:left="282" w:hangingChars="120" w:hanging="282"/>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第７条　各構成員の業務分担は、次のとおりとする。ただし、分担業務の一部につき発注者と契約内容の変更があったときは、それに応じて分担の変更があるものとする。</w:t>
      </w:r>
    </w:p>
    <w:p w14:paraId="16022ED5"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p>
    <w:p w14:paraId="6CCB663C"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 xml:space="preserve">　（例：設計・デザイン）業務　（構成員名）　○○　○○</w:t>
      </w:r>
    </w:p>
    <w:p w14:paraId="521E093A"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lastRenderedPageBreak/>
        <w:t xml:space="preserve">　（例：製作・管理）業務　　　（構成員名）　○○　○○</w:t>
      </w:r>
    </w:p>
    <w:p w14:paraId="6554D29B"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p>
    <w:p w14:paraId="02206AAA"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（運営委員会）</w:t>
      </w:r>
    </w:p>
    <w:p w14:paraId="30A8B3E1" w14:textId="1509C7FD" w:rsidR="00141B3E" w:rsidRPr="00141B3E" w:rsidRDefault="00141B3E" w:rsidP="00141B3E">
      <w:pPr>
        <w:overflowPunct w:val="0"/>
        <w:ind w:left="282" w:hangingChars="120" w:hanging="282"/>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第８条　本コンソーシアムは、構成員全員をもって運営委員会を設け、本業務の運営に当たるものとする。</w:t>
      </w:r>
    </w:p>
    <w:p w14:paraId="53099A74"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p>
    <w:p w14:paraId="32772B35"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（業務処理責任者）</w:t>
      </w:r>
    </w:p>
    <w:p w14:paraId="20C16CA5" w14:textId="23F76395" w:rsidR="00141B3E" w:rsidRPr="00141B3E" w:rsidRDefault="00141B3E" w:rsidP="00141B3E">
      <w:pPr>
        <w:overflowPunct w:val="0"/>
        <w:ind w:left="282" w:hangingChars="120" w:hanging="282"/>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第９条　本コンソーシアムはその構成員の中から、本業務の実施に関する業務処理責任者を選出し、本業務にかかわる指揮監督権を一任する。</w:t>
      </w:r>
    </w:p>
    <w:p w14:paraId="3771A7FF"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p>
    <w:p w14:paraId="1E46A201"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（業務担当責任者及び業務従事者）</w:t>
      </w:r>
    </w:p>
    <w:p w14:paraId="16C1B4F7" w14:textId="3EADD08B" w:rsidR="00141B3E" w:rsidRPr="00141B3E" w:rsidRDefault="00141B3E" w:rsidP="00141B3E">
      <w:pPr>
        <w:overflowPunct w:val="0"/>
        <w:ind w:left="282" w:hangingChars="120" w:hanging="282"/>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第１０条　本コンソーシアムの各構成員の代表者は、業務処理責任者の下で本業務に従事する業務担当責任者及び業務従事者を指名する。</w:t>
      </w:r>
    </w:p>
    <w:p w14:paraId="20482ED7"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p>
    <w:p w14:paraId="0C39B00C"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（取引金融機関）</w:t>
      </w:r>
    </w:p>
    <w:p w14:paraId="15A040C3" w14:textId="0123D429" w:rsidR="00141B3E" w:rsidRPr="00141B3E" w:rsidRDefault="00141B3E" w:rsidP="00141B3E">
      <w:pPr>
        <w:overflowPunct w:val="0"/>
        <w:ind w:left="282" w:hangingChars="120" w:hanging="282"/>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第１１条　本コンソーシアムの取引金融機関は、○○銀行○○支店とし、本コンソーシアムの代表者の名義により設けられた預金口座によって取引するものとする。</w:t>
      </w:r>
    </w:p>
    <w:p w14:paraId="3FE142A5"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p>
    <w:p w14:paraId="3FC68A8F"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（構成員の個別責任）</w:t>
      </w:r>
    </w:p>
    <w:p w14:paraId="3EBE68E4" w14:textId="193035F9" w:rsidR="00141B3E" w:rsidRPr="00141B3E" w:rsidRDefault="00141B3E" w:rsidP="00141B3E">
      <w:pPr>
        <w:overflowPunct w:val="0"/>
        <w:ind w:left="282" w:hangingChars="120" w:hanging="282"/>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29CABD9C"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p>
    <w:p w14:paraId="61D8C7C9"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（権利義務の譲渡の制限）</w:t>
      </w:r>
    </w:p>
    <w:p w14:paraId="54755A1D"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第１３条　この協定書に基づく権利義務は、他人に譲渡することができない。</w:t>
      </w:r>
    </w:p>
    <w:p w14:paraId="350EDA2F"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p>
    <w:p w14:paraId="15D51A23"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（業務途中における構成員の脱退）</w:t>
      </w:r>
    </w:p>
    <w:p w14:paraId="2B587B1F" w14:textId="69934A66"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第１４条　構成員は、本コンソーシアムが業務を完了する日までは脱退することができない。</w:t>
      </w:r>
    </w:p>
    <w:p w14:paraId="7C7815E5"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p>
    <w:p w14:paraId="25ECF6E4"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（業務途中における構成員の破産又は解散に対する措置）</w:t>
      </w:r>
    </w:p>
    <w:p w14:paraId="0EC856AF" w14:textId="7FBF518B" w:rsidR="00141B3E" w:rsidRPr="00141B3E" w:rsidRDefault="00141B3E" w:rsidP="00141B3E">
      <w:pPr>
        <w:overflowPunct w:val="0"/>
        <w:ind w:left="282" w:hangingChars="120" w:hanging="282"/>
        <w:jc w:val="left"/>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第１５条　構成員のいずれかが業務途中において破産又は解散した場合においては、残存構成員が連帯して当該構成員の分担業務を完成するものとする。</w:t>
      </w:r>
    </w:p>
    <w:p w14:paraId="36B2207C"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p>
    <w:p w14:paraId="6A9515A1"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（解散後の瑕疵担保責任）</w:t>
      </w:r>
    </w:p>
    <w:p w14:paraId="746BA07F" w14:textId="1F3BB26B" w:rsidR="00141B3E" w:rsidRPr="00141B3E" w:rsidRDefault="00141B3E" w:rsidP="00141B3E">
      <w:pPr>
        <w:overflowPunct w:val="0"/>
        <w:ind w:left="282" w:hangingChars="120" w:hanging="282"/>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第１６条　本コンソーシアムが解散した後においても、本業務につき瑕疵があったときは、各構成員は連帯してその責に任ずるものとする。</w:t>
      </w:r>
    </w:p>
    <w:p w14:paraId="5FF90E43"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p>
    <w:p w14:paraId="70A5105B"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（協定書に定めのない事項）</w:t>
      </w:r>
    </w:p>
    <w:p w14:paraId="0771621B" w14:textId="17B7C7FD" w:rsidR="00141B3E" w:rsidRPr="00141B3E" w:rsidRDefault="00141B3E" w:rsidP="00141B3E">
      <w:pPr>
        <w:overflowPunct w:val="0"/>
        <w:ind w:left="282" w:hangingChars="120" w:hanging="282"/>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第１７条　この協定書に定めのない事項については、運営委員会において定めるものとする。ただし、県との業務契約に係る事項については、事前に県と協議した上で定めるものとする。</w:t>
      </w:r>
    </w:p>
    <w:p w14:paraId="23CD60C7"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p>
    <w:p w14:paraId="19068A43"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（管轄裁判所）</w:t>
      </w:r>
    </w:p>
    <w:p w14:paraId="2AF2E942"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第１８条　本協定の紛争については、徳島地方裁判所を第一審の管轄裁判所とする。</w:t>
      </w:r>
    </w:p>
    <w:p w14:paraId="43EB564D"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p>
    <w:p w14:paraId="365AB332"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lastRenderedPageBreak/>
        <w:t xml:space="preserve">　代表者　○○○○　は、上記のとおり本コンソーシアム協定を締結したので、その証として正本○通及び副本１通を作成し、各構成員が記名押印の上、正本については構成員が各１通を保有し、副本については業務契約書に添えて発注者に提出する。</w:t>
      </w:r>
    </w:p>
    <w:p w14:paraId="50995C3B"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p>
    <w:p w14:paraId="26741FD2"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p>
    <w:p w14:paraId="4FF593B4"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 xml:space="preserve">　令和　　年　　月　　日</w:t>
      </w:r>
    </w:p>
    <w:p w14:paraId="1B30471F"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p>
    <w:p w14:paraId="262524DD"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p>
    <w:p w14:paraId="7A03F964" w14:textId="77777777" w:rsidR="00141B3E" w:rsidRPr="00141B3E" w:rsidRDefault="00141B3E" w:rsidP="00141B3E">
      <w:pPr>
        <w:overflowPunct w:val="0"/>
        <w:ind w:left="3432"/>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代表者（所在地）</w:t>
      </w:r>
    </w:p>
    <w:p w14:paraId="058359A2" w14:textId="77777777" w:rsidR="00141B3E" w:rsidRPr="00141B3E" w:rsidRDefault="00141B3E" w:rsidP="00141B3E">
      <w:pPr>
        <w:overflowPunct w:val="0"/>
        <w:ind w:left="417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（名　称）</w:t>
      </w:r>
    </w:p>
    <w:p w14:paraId="1B124956" w14:textId="77777777" w:rsidR="00141B3E" w:rsidRPr="00141B3E" w:rsidRDefault="00141B3E" w:rsidP="00141B3E">
      <w:pPr>
        <w:overflowPunct w:val="0"/>
        <w:ind w:left="417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（代表者）</w:t>
      </w:r>
    </w:p>
    <w:p w14:paraId="27942589" w14:textId="77777777" w:rsidR="00141B3E" w:rsidRPr="00141B3E" w:rsidRDefault="00141B3E" w:rsidP="00141B3E">
      <w:pPr>
        <w:overflowPunct w:val="0"/>
        <w:ind w:left="4170"/>
        <w:textAlignment w:val="baseline"/>
        <w:outlineLvl w:val="0"/>
        <w:rPr>
          <w:rFonts w:ascii="ＭＳ 明朝" w:eastAsia="ＭＳ 明朝" w:hAnsi="Times New Roman" w:cs="Times New Roman"/>
          <w:color w:val="000000"/>
          <w:spacing w:val="2"/>
          <w:kern w:val="0"/>
          <w:sz w:val="24"/>
          <w:szCs w:val="24"/>
        </w:rPr>
      </w:pPr>
    </w:p>
    <w:p w14:paraId="7970C292" w14:textId="77777777" w:rsidR="00141B3E" w:rsidRPr="00141B3E" w:rsidRDefault="00141B3E" w:rsidP="00141B3E">
      <w:pPr>
        <w:overflowPunct w:val="0"/>
        <w:ind w:left="3432"/>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構成員（所在地）</w:t>
      </w:r>
    </w:p>
    <w:p w14:paraId="75E55804" w14:textId="77777777" w:rsidR="00141B3E" w:rsidRPr="00141B3E" w:rsidRDefault="00141B3E" w:rsidP="00141B3E">
      <w:pPr>
        <w:overflowPunct w:val="0"/>
        <w:ind w:left="417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（名　称）</w:t>
      </w:r>
    </w:p>
    <w:p w14:paraId="7A6E90C1" w14:textId="77777777" w:rsidR="00141B3E" w:rsidRPr="00141B3E" w:rsidRDefault="00141B3E" w:rsidP="00141B3E">
      <w:pPr>
        <w:overflowPunct w:val="0"/>
        <w:ind w:left="417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（代表者）</w:t>
      </w:r>
    </w:p>
    <w:p w14:paraId="7EB42D54" w14:textId="77777777" w:rsidR="00141B3E" w:rsidRPr="00141B3E" w:rsidRDefault="00141B3E" w:rsidP="00141B3E">
      <w:pPr>
        <w:overflowPunct w:val="0"/>
        <w:textAlignment w:val="baseline"/>
        <w:outlineLvl w:val="0"/>
        <w:rPr>
          <w:rFonts w:ascii="ＭＳ 明朝" w:eastAsia="ＭＳ 明朝" w:hAnsi="Times New Roman" w:cs="Times New Roman"/>
          <w:color w:val="000000"/>
          <w:spacing w:val="2"/>
          <w:kern w:val="0"/>
          <w:sz w:val="24"/>
          <w:szCs w:val="24"/>
        </w:rPr>
      </w:pPr>
    </w:p>
    <w:p w14:paraId="613BDB09" w14:textId="77777777" w:rsidR="00141B3E" w:rsidRPr="00141B3E" w:rsidRDefault="00141B3E" w:rsidP="00141B3E">
      <w:pPr>
        <w:overflowPunct w:val="0"/>
        <w:ind w:left="3432"/>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構成員（所在地）</w:t>
      </w:r>
    </w:p>
    <w:p w14:paraId="504EDB49" w14:textId="77777777" w:rsidR="00141B3E" w:rsidRPr="00141B3E" w:rsidRDefault="00141B3E" w:rsidP="00141B3E">
      <w:pPr>
        <w:overflowPunct w:val="0"/>
        <w:ind w:left="417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（名　称）</w:t>
      </w:r>
    </w:p>
    <w:p w14:paraId="7C3F5263" w14:textId="77777777" w:rsidR="00141B3E" w:rsidRPr="00141B3E" w:rsidRDefault="00141B3E" w:rsidP="00141B3E">
      <w:pPr>
        <w:overflowPunct w:val="0"/>
        <w:ind w:left="417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（代表者）</w:t>
      </w:r>
    </w:p>
    <w:p w14:paraId="24489C1F" w14:textId="77777777" w:rsidR="00141B3E" w:rsidRPr="00141B3E" w:rsidRDefault="00141B3E" w:rsidP="00141B3E">
      <w:pPr>
        <w:overflowPunct w:val="0"/>
        <w:ind w:left="4170"/>
        <w:textAlignment w:val="baseline"/>
        <w:outlineLvl w:val="0"/>
        <w:rPr>
          <w:rFonts w:ascii="ＭＳ 明朝" w:eastAsia="ＭＳ 明朝" w:hAnsi="Times New Roman" w:cs="Times New Roman"/>
          <w:color w:val="000000"/>
          <w:spacing w:val="2"/>
          <w:kern w:val="0"/>
          <w:sz w:val="24"/>
          <w:szCs w:val="24"/>
        </w:rPr>
      </w:pPr>
    </w:p>
    <w:p w14:paraId="109A2A5B" w14:textId="77777777" w:rsidR="00141B3E" w:rsidRPr="00141B3E" w:rsidRDefault="00141B3E" w:rsidP="00141B3E">
      <w:pPr>
        <w:overflowPunct w:val="0"/>
        <w:ind w:firstLine="3428"/>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構成員（所在地）</w:t>
      </w:r>
    </w:p>
    <w:p w14:paraId="0557976A" w14:textId="77777777" w:rsidR="00141B3E" w:rsidRPr="00141B3E" w:rsidRDefault="00141B3E" w:rsidP="00141B3E">
      <w:pPr>
        <w:overflowPunct w:val="0"/>
        <w:ind w:left="417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（名　称）</w:t>
      </w:r>
    </w:p>
    <w:p w14:paraId="0C587362" w14:textId="77777777" w:rsidR="00141B3E" w:rsidRPr="00141B3E" w:rsidRDefault="00141B3E" w:rsidP="00141B3E">
      <w:pPr>
        <w:overflowPunct w:val="0"/>
        <w:ind w:left="417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（代表者）</w:t>
      </w:r>
    </w:p>
    <w:p w14:paraId="384F4115" w14:textId="77777777" w:rsidR="00141B3E" w:rsidRPr="00141B3E" w:rsidRDefault="00141B3E" w:rsidP="00141B3E">
      <w:pPr>
        <w:overflowPunct w:val="0"/>
        <w:ind w:left="4170"/>
        <w:textAlignment w:val="baseline"/>
        <w:outlineLvl w:val="0"/>
        <w:rPr>
          <w:rFonts w:ascii="ＭＳ 明朝" w:eastAsia="ＭＳ 明朝" w:hAnsi="Times New Roman" w:cs="Times New Roman"/>
          <w:color w:val="000000"/>
          <w:spacing w:val="2"/>
          <w:kern w:val="0"/>
          <w:sz w:val="24"/>
          <w:szCs w:val="24"/>
        </w:rPr>
      </w:pPr>
    </w:p>
    <w:p w14:paraId="53808B3C" w14:textId="77777777" w:rsidR="00141B3E" w:rsidRPr="00141B3E" w:rsidRDefault="00141B3E" w:rsidP="00141B3E">
      <w:pPr>
        <w:overflowPunct w:val="0"/>
        <w:ind w:firstLine="3428"/>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構成員（所在地）</w:t>
      </w:r>
    </w:p>
    <w:p w14:paraId="056A5704" w14:textId="77777777" w:rsidR="00141B3E" w:rsidRPr="00141B3E" w:rsidRDefault="00141B3E" w:rsidP="00141B3E">
      <w:pPr>
        <w:overflowPunct w:val="0"/>
        <w:ind w:left="417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（名　称）</w:t>
      </w:r>
    </w:p>
    <w:p w14:paraId="5B98DC3D" w14:textId="77777777" w:rsidR="00141B3E" w:rsidRPr="00141B3E" w:rsidRDefault="00141B3E" w:rsidP="00141B3E">
      <w:pPr>
        <w:overflowPunct w:val="0"/>
        <w:ind w:left="4170"/>
        <w:textAlignment w:val="baseline"/>
        <w:outlineLvl w:val="0"/>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（代表者）</w:t>
      </w:r>
    </w:p>
    <w:p w14:paraId="2E29F7F5" w14:textId="382E66B4" w:rsidR="00141B3E" w:rsidRDefault="00141B3E" w:rsidP="00FD3319">
      <w:pPr>
        <w:overflowPunct w:val="0"/>
        <w:textAlignment w:val="baseline"/>
        <w:rPr>
          <w:rFonts w:hint="eastAsia"/>
        </w:rPr>
      </w:pPr>
    </w:p>
    <w:sectPr w:rsidR="00141B3E" w:rsidSect="00141B3E">
      <w:pgSz w:w="11906" w:h="16838" w:code="9"/>
      <w:pgMar w:top="1418" w:right="1134" w:bottom="1134" w:left="1134" w:header="851" w:footer="992" w:gutter="0"/>
      <w:cols w:space="425"/>
      <w:docGrid w:type="linesAndChars" w:linePitch="317"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EE0CB"/>
    <w:multiLevelType w:val="multilevel"/>
    <w:tmpl w:val="FFFFFFFF"/>
    <w:name w:val="法令文－数字・(数字)・カナ・(カナ)"/>
    <w:lvl w:ilvl="0">
      <w:start w:val="1"/>
      <w:numFmt w:val="decimalFullWidth"/>
      <w:lvlText w:val="第%1条"/>
      <w:lvlJc w:val="left"/>
      <w:rPr>
        <w:rFonts w:hint="eastAsia"/>
        <w:spacing w:val="0"/>
      </w:rPr>
    </w:lvl>
    <w:lvl w:ilvl="1">
      <w:start w:val="2"/>
      <w:numFmt w:val="decimalFullWidth"/>
      <w:lvlText w:val="%2"/>
      <w:lvlJc w:val="left"/>
      <w:rPr>
        <w:rFonts w:hint="eastAsia"/>
        <w:spacing w:val="0"/>
      </w:rPr>
    </w:lvl>
    <w:lvl w:ilvl="2">
      <w:start w:val="1"/>
      <w:numFmt w:val="decimalFullWidth"/>
      <w:lvlText w:val="(%3)"/>
      <w:lvlJc w:val="left"/>
      <w:rPr>
        <w:rFonts w:hint="eastAsia"/>
        <w:spacing w:val="0"/>
      </w:rPr>
    </w:lvl>
    <w:lvl w:ilvl="3">
      <w:start w:val="1"/>
      <w:numFmt w:val="aiueoFullWidth"/>
      <w:lvlText w:val="%4"/>
      <w:lvlJc w:val="left"/>
      <w:rPr>
        <w:rFonts w:hint="eastAsia"/>
        <w:spacing w:val="0"/>
      </w:rPr>
    </w:lvl>
    <w:lvl w:ilvl="4">
      <w:start w:val="1"/>
      <w:numFmt w:val="aiueoFullWidth"/>
      <w:lvlText w:val="(%5)"/>
      <w:lvlJc w:val="left"/>
      <w:rPr>
        <w:rFonts w:hint="eastAsia"/>
        <w:spacing w:val="0"/>
      </w:rPr>
    </w:lvl>
    <w:lvl w:ilvl="5">
      <w:start w:val="1"/>
      <w:numFmt w:val="decimal"/>
      <w:suff w:val="nothing"/>
      <w:lvlText w:val=""/>
      <w:lvlJc w:val="left"/>
      <w:rPr>
        <w:rFonts w:hint="default"/>
        <w:spacing w:val="0"/>
      </w:rPr>
    </w:lvl>
    <w:lvl w:ilvl="6">
      <w:start w:val="1"/>
      <w:numFmt w:val="decimal"/>
      <w:suff w:val="nothing"/>
      <w:lvlText w:val=""/>
      <w:lvlJc w:val="left"/>
      <w:rPr>
        <w:rFonts w:hint="default"/>
        <w:spacing w:val="0"/>
      </w:rPr>
    </w:lvl>
    <w:lvl w:ilvl="7">
      <w:start w:val="1"/>
      <w:numFmt w:val="decimal"/>
      <w:suff w:val="nothing"/>
      <w:lvlText w:val=""/>
      <w:lvlJc w:val="left"/>
      <w:rPr>
        <w:rFonts w:hint="default"/>
        <w:spacing w:val="0"/>
      </w:rPr>
    </w:lvl>
    <w:lvl w:ilvl="8">
      <w:start w:val="1"/>
      <w:numFmt w:val="decimal"/>
      <w:suff w:val="nothing"/>
      <w:lvlText w:val=""/>
      <w:lvlJc w:val="left"/>
      <w:rPr>
        <w:rFonts w:hint="default"/>
        <w:spacing w:val="0"/>
      </w:rPr>
    </w:lvl>
  </w:abstractNum>
  <w:num w:numId="1" w16cid:durableId="1553884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3E"/>
    <w:rsid w:val="00141B3E"/>
    <w:rsid w:val="00FD3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21978C"/>
  <w15:chartTrackingRefBased/>
  <w15:docId w15:val="{70C45ED5-B4B3-451D-AD9D-7EE8E778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141B3E"/>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satou seiji</dc:creator>
  <cp:keywords/>
  <dc:description/>
  <cp:lastModifiedBy>satou seiji</cp:lastModifiedBy>
  <cp:revision>2</cp:revision>
  <dcterms:created xsi:type="dcterms:W3CDTF">2025-05-29T01:24:00Z</dcterms:created>
  <dcterms:modified xsi:type="dcterms:W3CDTF">2025-05-29T01:24:00Z</dcterms:modified>
</cp:coreProperties>
</file>