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</w:t>
      </w:r>
      <w:bookmarkStart w:id="0" w:name="_GoBack"/>
      <w:bookmarkEnd w:id="0"/>
      <w:r>
        <w:rPr>
          <w:rFonts w:hint="eastAsia" w:ascii="ＭＳ 明朝" w:hAnsi="ＭＳ 明朝"/>
        </w:rPr>
        <w:t>第６条関係）</w:t>
      </w:r>
    </w:p>
    <w:p>
      <w:pPr>
        <w:pStyle w:val="0"/>
        <w:ind w:right="840"/>
        <w:rPr>
          <w:rFonts w:hint="default" w:ascii="ＭＳ 明朝" w:hAnsi="ＭＳ 明朝"/>
        </w:rPr>
      </w:pPr>
    </w:p>
    <w:p>
      <w:pPr>
        <w:pStyle w:val="0"/>
        <w:tabs>
          <w:tab w:val="left" w:leader="none" w:pos="8504"/>
        </w:tabs>
        <w:ind w:right="-1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取　得　財　産　等　管　理　台　帳</w:t>
      </w:r>
    </w:p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25"/>
        <w:tblW w:w="147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88"/>
        <w:gridCol w:w="1121"/>
        <w:gridCol w:w="704"/>
        <w:gridCol w:w="1324"/>
        <w:gridCol w:w="1417"/>
        <w:gridCol w:w="1559"/>
        <w:gridCol w:w="1560"/>
        <w:gridCol w:w="1559"/>
        <w:gridCol w:w="1276"/>
        <w:gridCol w:w="1701"/>
      </w:tblGrid>
      <w:tr>
        <w:trPr/>
        <w:tc>
          <w:tcPr>
            <w:tcW w:w="24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財産名</w:t>
            </w:r>
          </w:p>
        </w:tc>
        <w:tc>
          <w:tcPr>
            <w:tcW w:w="112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規格</w:t>
            </w: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数量</w:t>
            </w:r>
          </w:p>
        </w:tc>
        <w:tc>
          <w:tcPr>
            <w:tcW w:w="132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単価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金額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取得年月日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処分制限期間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保管場所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補助率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248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24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left="810" w:hanging="810" w:hangingChars="405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（注）１　対象となる取得財産等は、補助金等に係る予算の執行の適正化法に関する法律施行令（昭和３０年政令第２５５号）第１３条第１号から第３号に定める財産、取得価格又は効用の増加価格が本交付要綱第１６条第２項に定める財産処分制限価格以上の財産とする。</w:t>
      </w:r>
    </w:p>
    <w:p>
      <w:pPr>
        <w:pStyle w:val="0"/>
        <w:ind w:left="810" w:hanging="810" w:hangingChars="405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　２　財産名の区分は、（ア）不動産、（イ）船舶、航空機、浮標、浮さん橋及び浮ドック、（ウ）（ア）及び（イ）に掲げるものの従物、（エ）車両及び運搬具、工具、器具及び備品、機械及び装置、（オ）無形資産、（カ）開発研究用資産、（キ）その他の物件とする。</w:t>
      </w:r>
    </w:p>
    <w:p>
      <w:pPr>
        <w:pStyle w:val="0"/>
        <w:ind w:left="840" w:leftChars="300" w:hanging="210" w:hangingChars="105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数量は、同一規格であれば一括記入して差し支えない。ただし、単価が異なる場合には区分して記載すること。</w:t>
      </w:r>
    </w:p>
    <w:p>
      <w:pPr>
        <w:pStyle w:val="0"/>
        <w:ind w:left="840" w:leftChars="300" w:hanging="210" w:hangingChars="105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４　取得年月日は、検収年月日を記載すること。</w:t>
      </w:r>
    </w:p>
    <w:p>
      <w:pPr>
        <w:pStyle w:val="0"/>
        <w:ind w:left="840" w:leftChars="300" w:hanging="210" w:hangingChars="105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５　処分制限期間は、交付要綱第１６条第３項に定める期間を記載すること。</w:t>
      </w:r>
    </w:p>
    <w:p>
      <w:pPr>
        <w:pStyle w:val="0"/>
        <w:rPr>
          <w:rFonts w:hint="default" w:ascii="ＭＳ 明朝" w:hAnsi="ＭＳ 明朝"/>
          <w:sz w:val="20"/>
        </w:rPr>
      </w:pPr>
    </w:p>
    <w:sectPr>
      <w:footerReference r:id="rId5" w:type="default"/>
      <w:pgSz w:w="16840" w:h="11910" w:orient="landscape"/>
      <w:pgMar w:top="1418" w:right="1134" w:bottom="1418" w:left="1134" w:header="0" w:footer="284" w:gutter="0"/>
      <w:pgNumType w:fmt="numberInDash" w:start="13"/>
      <w:cols w:space="720"/>
      <w:textDirection w:val="lrTb"/>
      <w:docGrid w:type="lines" w:linePitch="364" w:charSpace="-4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23"/>
      <w:spacing w:line="14" w:lineRule="auto"/>
      <w:rPr>
        <w:rFonts w:hint="default"/>
        <w:sz w:val="15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eastAsia="ＭＳ 明朝"/>
      <w:spacing w:val="7"/>
      <w:kern w:val="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ody Text"/>
    <w:basedOn w:val="0"/>
    <w:next w:val="23"/>
    <w:link w:val="24"/>
    <w:uiPriority w:val="0"/>
    <w:qFormat/>
    <w:pPr>
      <w:widowControl w:val="1"/>
      <w:jc w:val="left"/>
    </w:pPr>
    <w:rPr>
      <w:rFonts w:ascii="ＭＳ 明朝" w:hAnsi="ＭＳ 明朝"/>
      <w:kern w:val="0"/>
    </w:rPr>
  </w:style>
  <w:style w:type="character" w:styleId="24" w:customStyle="1">
    <w:name w:val="本文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450</TotalTime>
  <Pages>1</Pages>
  <Words>68</Words>
  <Characters>392</Characters>
  <Application>JUST Note</Application>
  <Lines>3</Lines>
  <Paragraphs>1</Paragraphs>
  <Company>徳島県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片山裕喜</cp:lastModifiedBy>
  <cp:lastPrinted>2019-08-07T06:22:00Z</cp:lastPrinted>
  <dcterms:created xsi:type="dcterms:W3CDTF">2019-07-03T04:17:00Z</dcterms:created>
  <dcterms:modified xsi:type="dcterms:W3CDTF">2023-12-08T02:52:37Z</dcterms:modified>
  <cp:revision>164</cp:revision>
</cp:coreProperties>
</file>