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30" w:lineRule="exact"/>
        <w:jc w:val="center"/>
        <w:rPr>
          <w:rFonts w:hint="eastAsia"/>
        </w:rPr>
      </w:pPr>
      <w:r>
        <w:rPr>
          <w:rFonts w:hint="eastAsia"/>
          <w:sz w:val="48"/>
        </w:rPr>
        <w:t>審　査　基　準</w:t>
      </w:r>
    </w:p>
    <w:tbl>
      <w:tblPr>
        <w:tblStyle w:val="11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456"/>
        <w:gridCol w:w="2184"/>
        <w:gridCol w:w="2080"/>
        <w:gridCol w:w="3848"/>
      </w:tblGrid>
      <w:tr>
        <w:trPr/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基準の名称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　　令　　等　　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根　拠　条　項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</w:tr>
      <w:tr>
        <w:trPr/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毒物及び劇物取締法施行令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第３５条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登録票又は許可証の書換え交付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　　　　　準　　　　　の　　　　　内　　　　　容</w:t>
            </w:r>
          </w:p>
        </w:tc>
      </w:tr>
      <w:tr>
        <w:trPr/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１　同法第１０条に基づいて、変更届の提出がされていること。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２　毒物劇物営業者の氏名（法人にあってはその名称）、法人にあっては主たる事務所の所在地、製　造所、営業所又は店舗の名称等、登録票に記載されている事項であること。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３　特定毒物研究者の氏名又は住所、主たる研究所の名称又は住所であること。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４　その他、「徳島県薬局等許可事務取扱要領」によること。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textDirection w:val="lrTb"/>
      <w:docGrid w:type="linesAndChars" w:linePitch="260" w:charSpace="2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0</Pages>
  <Words>0</Words>
  <Characters>0</Characters>
  <Application>JUST Note</Application>
  <Lines>0</Lines>
  <Paragraphs>0</Paragraphs>
  <Company>徳島県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西森 修</dc:creator>
  <cp:lastModifiedBy>9311025</cp:lastModifiedBy>
  <cp:lastPrinted>2000-06-15T06:09:00Z</cp:lastPrinted>
  <dcterms:created xsi:type="dcterms:W3CDTF">2020-06-02T09:08:00Z</dcterms:created>
  <dcterms:modified xsi:type="dcterms:W3CDTF">2022-09-26T05:50:03Z</dcterms:modified>
  <cp:revision>9</cp:revision>
</cp:coreProperties>
</file>