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500ACC" w:rsidRPr="00500ACC">
        <w:rPr>
          <w:rFonts w:ascii="HG創英角ﾎﾟｯﾌﾟ体" w:eastAsia="HG創英角ﾎﾟｯﾌﾟ体" w:hAnsi="HG創英角ﾎﾟｯﾌﾟ体" w:hint="eastAsia"/>
          <w:color w:val="0000FF"/>
          <w:sz w:val="32"/>
          <w:szCs w:val="32"/>
        </w:rPr>
        <w:t>第二次徳島県犯罪被害者等支援推進計画（案）</w:t>
      </w:r>
      <w:r w:rsidRPr="00500ACC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</w:rPr>
        <w:t>｣</w:t>
      </w:r>
      <w:r w:rsidR="00500ACC" w:rsidRPr="00500ACC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</w:rPr>
        <w:t xml:space="preserve">　</w:t>
      </w:r>
      <w:r w:rsidRPr="00500ACC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</w:rPr>
        <w:t>意見提出用紙</w:t>
      </w:r>
    </w:p>
    <w:p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:rsidTr="00500ACC">
        <w:trPr>
          <w:trHeight w:val="6085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:rsidR="00500ACC" w:rsidRDefault="00500ACC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DD72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</w:t>
            </w:r>
            <w:r w:rsidR="00500AC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消費者政策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500ACC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500ACC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消費者政策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500ACC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くらし安全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500AC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2287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500AC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2979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500AC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shohishaseisakuka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56E" w:rsidRDefault="0052456E">
      <w:r>
        <w:separator/>
      </w:r>
    </w:p>
  </w:endnote>
  <w:endnote w:type="continuationSeparator" w:id="0">
    <w:p w:rsidR="0052456E" w:rsidRDefault="0052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56E" w:rsidRDefault="0052456E">
      <w:r>
        <w:separator/>
      </w:r>
    </w:p>
  </w:footnote>
  <w:footnote w:type="continuationSeparator" w:id="0">
    <w:p w:rsidR="0052456E" w:rsidRDefault="00524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7628C"/>
    <w:rsid w:val="00500ACC"/>
    <w:rsid w:val="0052456E"/>
    <w:rsid w:val="00B4102B"/>
    <w:rsid w:val="00BD4FAE"/>
    <w:rsid w:val="00D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6076B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492</Characters>
  <Application>Microsoft Office Word</Application>
  <DocSecurity>0</DocSecurity>
  <Lines>4</Lines>
  <Paragraphs>1</Paragraphs>
  <ScaleCrop>false</ScaleCrop>
  <Company>徳島県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morino hitomi</cp:lastModifiedBy>
  <cp:revision>5</cp:revision>
  <cp:lastPrinted>2025-12-10T08:35:00Z</cp:lastPrinted>
  <dcterms:created xsi:type="dcterms:W3CDTF">2025-05-27T23:42:00Z</dcterms:created>
  <dcterms:modified xsi:type="dcterms:W3CDTF">2025-12-10T08:35:00Z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